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04" w:type="dxa"/>
        <w:tblInd w:w="-572" w:type="dxa"/>
        <w:tblLook w:val="04A0" w:firstRow="1" w:lastRow="0" w:firstColumn="1" w:lastColumn="0" w:noHBand="0" w:noVBand="1"/>
      </w:tblPr>
      <w:tblGrid>
        <w:gridCol w:w="1575"/>
        <w:gridCol w:w="2111"/>
        <w:gridCol w:w="2126"/>
        <w:gridCol w:w="1818"/>
        <w:gridCol w:w="1819"/>
        <w:gridCol w:w="1818"/>
        <w:gridCol w:w="1818"/>
        <w:gridCol w:w="1819"/>
      </w:tblGrid>
      <w:tr w:rsidR="00DF4EA7" w:rsidRPr="00C86F3D" w14:paraId="6F642C78" w14:textId="77777777" w:rsidTr="003A7BFA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8DB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  <w:t>Institusi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DF89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Universitas Teuku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Umuar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6CD9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Universitas Pembangunan Negara “Veteran”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B81F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Universitas Syiah Kuala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754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986730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Universitas HKBP </w:t>
            </w:r>
            <w:proofErr w:type="spellStart"/>
            <w:r w:rsidRPr="00986730">
              <w:rPr>
                <w:rFonts w:eastAsia="Times New Roman"/>
                <w:color w:val="000000"/>
                <w:sz w:val="20"/>
                <w:szCs w:val="20"/>
                <w:lang w:val="id-ID"/>
              </w:rPr>
              <w:t>Nommensen</w:t>
            </w:r>
            <w:proofErr w:type="spellEnd"/>
            <w:r w:rsidRPr="00986730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Medan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8F4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University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of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Malaya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0A5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National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University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of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Singapore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923" w14:textId="77777777" w:rsidR="00DF4EA7" w:rsidRPr="00C86F3D" w:rsidRDefault="00DF4EA7" w:rsidP="003A7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Chulalongkorn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University</w:t>
            </w:r>
            <w:proofErr w:type="spellEnd"/>
          </w:p>
        </w:tc>
      </w:tr>
      <w:tr w:rsidR="00DF4EA7" w:rsidRPr="00C86F3D" w14:paraId="512B7549" w14:textId="77777777" w:rsidTr="003A7BFA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FBE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  <w:t>Pengembangan Keahlian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6872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Berorientasi kepada Kedokteran Komunitas </w:t>
            </w:r>
          </w:p>
          <w:p w14:paraId="4751B0F6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527" w14:textId="77777777" w:rsidR="00DF4EA7" w:rsidRPr="00B00E20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Kurikulum berbasis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community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oriented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dalam lingkup pelayanan kesehatan primer berwawasan dokter keluarga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AD17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Berorientasi kepada Kedokteran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Kebencanaan</w:t>
            </w:r>
            <w:proofErr w:type="spellEnd"/>
          </w:p>
          <w:p w14:paraId="137946D7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66C5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Kurikulum berorientasi kepada kedokteran tropis yang terdiri dari 3 fase utama yaitu fase generik, fase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biomedik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dan fase komprehensif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640A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Keahlian berorientasi kepada kedokteran dan kedokteran bedah (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Bachelor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Medicine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Bachelor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Surgery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(MBBS)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) yang terdiri dari 4 tahapan utama mulai dari : (1) </w:t>
            </w:r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Basic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Clinical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Sciences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(2)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Patient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Doctor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(3)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Population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Medicine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Personal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, (4)</w:t>
            </w:r>
            <w:r w:rsidRPr="00C013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 Professional Development.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B09F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Keahlian berorientasi kepada kedokteran dan kedokteran bedah (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Bachelor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Medicine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Bachelor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>Surgery</w:t>
            </w:r>
            <w:proofErr w:type="spellEnd"/>
            <w:r w:rsidRPr="00D00E64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(MBBS)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) yang terdiri dari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inter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disiplin dan mengintegrasikan 5 pilar pendidikan yaitu : </w:t>
            </w:r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(1)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social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behavioural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determinant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of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health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(2)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practice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1 (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the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foundations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of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health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professionalism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), (3) data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literacy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for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healthcare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(4)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practice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2 (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basic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in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health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professionalism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(5)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digiral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literacy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for</w:t>
            </w:r>
            <w:proofErr w:type="spellEnd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4D25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healthcare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8732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Keahlian berfokus pada pendidikan kedokteran yang terbagi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3 fase yaitu: (1)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pre-clerkship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(2)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clerkship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(3)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externship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. </w:t>
            </w:r>
          </w:p>
        </w:tc>
      </w:tr>
      <w:tr w:rsidR="00DF4EA7" w:rsidRPr="00C86F3D" w14:paraId="277B4701" w14:textId="77777777" w:rsidTr="003A7BFA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F7C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  <w:t>Kajian Capaian Pembelajaran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2FC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Capaian pembelajaran lulusan (CPL)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prodi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dan profesi dokter memiliki 14 CPL yang terbagi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4 kategori yaitu Sifat (4 CPL), Pengetahuan (2 </w:t>
            </w: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CPL), Keterampilan Umum (4 CPL) dan Keterampilan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Khusu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(4 CPL).</w:t>
            </w:r>
          </w:p>
          <w:p w14:paraId="1BEE6419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CF8D" w14:textId="554840D4" w:rsidR="00DF4EA7" w:rsidRPr="00C86F3D" w:rsidRDefault="006676C0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>Capaian pembelajaran lulusan (CPL) terdiri dari</w:t>
            </w:r>
            <w:r w:rsidR="00B41578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46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CPL yang tersebar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4 komponen yaitu: Sikap (10 CPL), Pengetahuan (11 CPL), 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>Keterampilan Umum (13 CPL) dan Keterampilan Khusus (12 CPL)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1E19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Capaian pembelajaran lulusan (CPL)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prodi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dan profesi dokter memiliki 14 CPL yang terbagi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4 kategori </w:t>
            </w: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>yaitu Sifat (4 CPL), Pengetahuan (2 CPL), Keterampilan Umum (4 CPL) dan Keterampilan Khusus (4 CPL).</w:t>
            </w:r>
          </w:p>
          <w:p w14:paraId="64CCA907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6CCD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Capaian pembelajaran lulusan terdiri dari 18 CPL yang terbagi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3 Komponen yaitu: Sikap dan nilai (11 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>CPL), keterampilan umum (9 CPL), keterampilan khusus (8 CPL)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C3C698" w14:textId="77777777" w:rsidR="00DF4EA7" w:rsidRPr="00D00E64" w:rsidRDefault="00DF4EA7" w:rsidP="003A7BF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Capaian pembelajaran lulusan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teretuang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kedalam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8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Programme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learning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outcomes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(</w:t>
            </w:r>
            <w:r w:rsidRPr="00D00E64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PO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) yang terdiri 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dari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Knowledge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practical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social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responsibility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values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professionalism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communication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team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problem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sloving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scientific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informastion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management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lifelong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learning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managerial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entrepreneurial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20D" w14:textId="77777777" w:rsidR="00DF4EA7" w:rsidRPr="00465B89" w:rsidRDefault="00DF4EA7" w:rsidP="003A7BF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Capaian pembelajaran lulusan mengacu kepada 6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learning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outcome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yaitu: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(1)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Patient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care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(2)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medical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knowledge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lastRenderedPageBreak/>
              <w:t xml:space="preserve">(3) </w:t>
            </w:r>
            <w:proofErr w:type="spellStart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Practice-Based</w:t>
            </w:r>
            <w:proofErr w:type="spellEnd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Learning</w:t>
            </w:r>
            <w:proofErr w:type="spellEnd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</w:p>
          <w:p w14:paraId="363DFEF3" w14:textId="77777777" w:rsidR="00DF4EA7" w:rsidRPr="00465B89" w:rsidRDefault="00DF4EA7" w:rsidP="003A7BF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proofErr w:type="spellStart"/>
            <w:r w:rsidRPr="00465B89"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Improvement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(4)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interpersonal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communication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skills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(5)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Professionalism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(6) System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based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practice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7E48" w14:textId="77777777" w:rsidR="00DF4EA7" w:rsidRPr="00740794" w:rsidRDefault="00DF4EA7" w:rsidP="003A7BF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lastRenderedPageBreak/>
              <w:t xml:space="preserve">Capaian pembelajaran terdiri dari 12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learning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outcomes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yang terdiri dari: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(1)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clinical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diagnosis, (2)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lastRenderedPageBreak/>
              <w:t>Patient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investigation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(3)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patient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management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(4)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procedure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(5)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communication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(6)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holistic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care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(7)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medical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ethics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laws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(8)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critical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thinking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(9)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integrated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medical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sciences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(10) global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doctor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global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responsibilities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(11) 21st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centurty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professiond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multi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talented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doctor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, (12)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leadership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for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id-ID"/>
              </w:rPr>
              <w:t>change</w:t>
            </w:r>
            <w:proofErr w:type="spellEnd"/>
          </w:p>
        </w:tc>
      </w:tr>
      <w:tr w:rsidR="00DF4EA7" w:rsidRPr="00C86F3D" w14:paraId="268F7C2C" w14:textId="77777777" w:rsidTr="003A7BFA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9B4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/>
              </w:rPr>
              <w:lastRenderedPageBreak/>
              <w:t>Kurikulum Program Sejenis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DE26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Kedokteran Komunitas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36E3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Kedokteran Keluarga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8F90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Disaster</w:t>
            </w:r>
            <w:proofErr w:type="spellEnd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86F3D">
              <w:rPr>
                <w:rFonts w:eastAsia="Times New Roman"/>
                <w:color w:val="000000"/>
                <w:sz w:val="20"/>
                <w:szCs w:val="20"/>
                <w:lang w:val="id-ID"/>
              </w:rPr>
              <w:t>Management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CC5" w14:textId="781E44C2" w:rsidR="00DF4EA7" w:rsidRPr="00C86F3D" w:rsidRDefault="008373ED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</w:t>
            </w:r>
            <w:r w:rsidRPr="008373ED"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edokteran </w:t>
            </w: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T</w:t>
            </w:r>
            <w:r w:rsidRPr="008373ED">
              <w:rPr>
                <w:rFonts w:eastAsia="Times New Roman"/>
                <w:color w:val="000000"/>
                <w:sz w:val="20"/>
                <w:szCs w:val="20"/>
                <w:lang w:val="id-ID"/>
              </w:rPr>
              <w:t>ropis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0A05" w14:textId="77777777" w:rsidR="00DF4EA7" w:rsidRPr="00971DAF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Kedokteran Keluarga dan Komunitas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1D3D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Humanity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Entrepreneurship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6236" w14:textId="77777777" w:rsidR="00DF4EA7" w:rsidRPr="00C86F3D" w:rsidRDefault="00DF4EA7" w:rsidP="003A7BF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21st Century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Profession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Multi-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Talented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/>
              </w:rPr>
              <w:t>Doctor</w:t>
            </w:r>
            <w:proofErr w:type="spellEnd"/>
          </w:p>
        </w:tc>
      </w:tr>
    </w:tbl>
    <w:p w14:paraId="13BCB209" w14:textId="77777777" w:rsidR="008B3A70" w:rsidRDefault="008B3A70"/>
    <w:sectPr w:rsidR="008B3A70" w:rsidSect="00DF4E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A7"/>
    <w:rsid w:val="000662F9"/>
    <w:rsid w:val="000E08B7"/>
    <w:rsid w:val="001603BA"/>
    <w:rsid w:val="002120C7"/>
    <w:rsid w:val="003568AC"/>
    <w:rsid w:val="004513B7"/>
    <w:rsid w:val="005D7255"/>
    <w:rsid w:val="006676C0"/>
    <w:rsid w:val="006E50DE"/>
    <w:rsid w:val="007A3B3D"/>
    <w:rsid w:val="008373ED"/>
    <w:rsid w:val="008B3A70"/>
    <w:rsid w:val="008D5230"/>
    <w:rsid w:val="009547B2"/>
    <w:rsid w:val="00A45EA1"/>
    <w:rsid w:val="00B41578"/>
    <w:rsid w:val="00B82A43"/>
    <w:rsid w:val="00CC3CE2"/>
    <w:rsid w:val="00CE7911"/>
    <w:rsid w:val="00CF3A05"/>
    <w:rsid w:val="00D248FF"/>
    <w:rsid w:val="00D27040"/>
    <w:rsid w:val="00DE0307"/>
    <w:rsid w:val="00DF4EA7"/>
    <w:rsid w:val="00DF7D60"/>
    <w:rsid w:val="00F11E98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D4F"/>
  <w15:chartTrackingRefBased/>
  <w15:docId w15:val="{7AC37839-7ED6-4BE0-9519-E1337701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202124"/>
        <w:kern w:val="2"/>
        <w:sz w:val="24"/>
        <w:szCs w:val="22"/>
        <w:lang w:val="id-ID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A7"/>
    <w:pPr>
      <w:spacing w:line="259" w:lineRule="auto"/>
      <w:jc w:val="left"/>
    </w:pPr>
    <w:rPr>
      <w:color w:val="auto"/>
      <w:kern w:val="0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DF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F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F4E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F4E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F4E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F4E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F4E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F4E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F4E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F4EA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F4EA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F4EA7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F4EA7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F4EA7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F4EA7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F4EA7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F4EA7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F4EA7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F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F4EA7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F4E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F4EA7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F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F4EA7"/>
    <w:rPr>
      <w:i/>
      <w:iCs/>
      <w:noProof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F4EA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F4EA7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F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F4EA7"/>
    <w:rPr>
      <w:i/>
      <w:iCs/>
      <w:noProof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F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sakip fkm</dc:creator>
  <cp:keywords/>
  <dc:description/>
  <cp:lastModifiedBy>Juanda BJ</cp:lastModifiedBy>
  <cp:revision>5</cp:revision>
  <dcterms:created xsi:type="dcterms:W3CDTF">2025-02-03T12:02:00Z</dcterms:created>
  <dcterms:modified xsi:type="dcterms:W3CDTF">2025-02-03T12:42:00Z</dcterms:modified>
</cp:coreProperties>
</file>